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  бюджетное  дошкол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ное  образовательное  учреждение</w:t>
      </w:r>
      <w:r/>
    </w:p>
    <w:p>
      <w:pPr>
        <w:tabs>
          <w:tab w:val="left" w:pos="303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етский сад № 74 «Одуванчик»</w:t>
      </w:r>
      <w:r/>
    </w:p>
    <w:p>
      <w:pPr>
        <w:tabs>
          <w:tab w:val="left" w:pos="303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tabs>
          <w:tab w:val="left" w:pos="303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tabs>
          <w:tab w:val="left" w:pos="303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tabs>
          <w:tab w:val="left" w:pos="303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tabs>
          <w:tab w:val="left" w:pos="3030" w:leader="none"/>
        </w:tabs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56"/>
          <w:szCs w:val="56"/>
        </w:rPr>
        <w:t xml:space="preserve">Консультация для родителей</w:t>
      </w:r>
      <w:r/>
    </w:p>
    <w:p>
      <w:pPr>
        <w:pStyle w:val="823"/>
        <w:rPr>
          <w:rFonts w:eastAsiaTheme="minorHAnsi"/>
          <w:i/>
          <w:sz w:val="56"/>
          <w:szCs w:val="56"/>
          <w:lang w:eastAsia="en-US"/>
        </w:rPr>
      </w:pPr>
      <w:r>
        <w:rPr>
          <w:rFonts w:eastAsiaTheme="minorHAnsi"/>
          <w:i/>
          <w:sz w:val="56"/>
          <w:szCs w:val="56"/>
          <w:lang w:eastAsia="en-US"/>
        </w:rPr>
        <w:t xml:space="preserve">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jc w:val="center"/>
        <w:rPr>
          <w:rStyle w:val="824"/>
          <w:b w:val="false"/>
          <w:i/>
          <w:color w:val="00B0F0"/>
          <w:sz w:val="72"/>
          <w:szCs w:val="72"/>
        </w:rPr>
      </w:pPr>
      <w:r>
        <w:rPr>
          <w:rStyle w:val="824"/>
          <w:rFonts w:eastAsiaTheme="minorHAnsi"/>
          <w:b w:val="false"/>
          <w:i/>
          <w:color w:val="00B0F0"/>
          <w:sz w:val="72"/>
          <w:szCs w:val="72"/>
        </w:rPr>
        <w:t xml:space="preserve">Формировани</w:t>
      </w:r>
      <w:r>
        <w:rPr>
          <w:rStyle w:val="824"/>
          <w:rFonts w:eastAsiaTheme="minorHAnsi"/>
          <w:b w:val="false"/>
          <w:i/>
          <w:color w:val="00B0F0"/>
          <w:sz w:val="72"/>
          <w:szCs w:val="72"/>
        </w:rPr>
        <w:t xml:space="preserve">е</w:t>
      </w:r>
      <w:r>
        <w:rPr>
          <w:rStyle w:val="824"/>
          <w:rFonts w:eastAsiaTheme="minorHAnsi"/>
          <w:b w:val="false"/>
          <w:i/>
          <w:color w:val="00B0F0"/>
          <w:sz w:val="72"/>
          <w:szCs w:val="72"/>
        </w:rPr>
        <w:t xml:space="preserve"> осн</w:t>
      </w:r>
      <w:r>
        <w:rPr>
          <w:rStyle w:val="824"/>
          <w:rFonts w:eastAsiaTheme="minorHAnsi"/>
          <w:b w:val="false"/>
          <w:i/>
          <w:color w:val="00B0F0"/>
          <w:sz w:val="72"/>
          <w:szCs w:val="72"/>
        </w:rPr>
        <w:t xml:space="preserve">ов компетенций безопасной жизне</w:t>
      </w:r>
      <w:r>
        <w:rPr>
          <w:rStyle w:val="824"/>
          <w:rFonts w:eastAsiaTheme="minorHAnsi"/>
          <w:b w:val="false"/>
          <w:i/>
          <w:color w:val="00B0F0"/>
          <w:sz w:val="72"/>
          <w:szCs w:val="72"/>
        </w:rPr>
        <w:t xml:space="preserve">деятельности дошкольников.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jc w:val="center"/>
        <w:rPr>
          <w:rStyle w:val="824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jc w:val="center"/>
        <w:rPr>
          <w:rStyle w:val="824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jc w:val="center"/>
        <w:rPr>
          <w:rStyle w:val="824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jc w:val="center"/>
        <w:rPr>
          <w:rStyle w:val="824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rPr>
          <w:rStyle w:val="824"/>
        </w:rPr>
      </w:pPr>
      <w:r>
        <w:rPr>
          <w:rStyle w:val="824"/>
          <w:rFonts w:eastAsiaTheme="minorHAnsi"/>
        </w:rPr>
      </w:r>
      <w:r>
        <w:rPr>
          <w:rStyle w:val="824"/>
          <w:rFonts w:eastAsiaTheme="minorHAnsi"/>
        </w:rPr>
      </w:r>
      <w:r>
        <w:rPr>
          <w:rFonts w:eastAsiaTheme="minorHAnsi"/>
        </w:rPr>
      </w:r>
    </w:p>
    <w:p>
      <w:pPr>
        <w:pStyle w:val="823"/>
        <w:rPr>
          <w:rStyle w:val="824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jc w:val="center"/>
        <w:rPr>
          <w:rStyle w:val="824"/>
          <w:b w:val="false"/>
          <w:highlight w:val="none"/>
        </w:rPr>
      </w:pPr>
      <w:r>
        <w:rPr>
          <w:rStyle w:val="824"/>
          <w:rFonts w:eastAsiaTheme="minorHAnsi"/>
          <w:b w:val="false"/>
        </w:rPr>
        <w:t xml:space="preserve">                              </w:t>
      </w:r>
      <w:r>
        <w:rPr>
          <w:rStyle w:val="824"/>
          <w:rFonts w:eastAsiaTheme="minorHAnsi"/>
          <w:b w:val="false"/>
        </w:rPr>
        <w:t xml:space="preserve">                              </w:t>
      </w:r>
      <w:r>
        <w:rPr>
          <w:rStyle w:val="824"/>
          <w:rFonts w:eastAsiaTheme="minorHAnsi"/>
          <w:b w:val="false"/>
        </w:rPr>
        <w:t xml:space="preserve">    </w:t>
      </w:r>
      <w:r>
        <w:rPr>
          <w:rStyle w:val="824"/>
          <w:rFonts w:eastAsiaTheme="minorHAnsi"/>
          <w:b w:val="false"/>
        </w:rPr>
        <w:t xml:space="preserve"> </w:t>
      </w:r>
      <w:r>
        <w:rPr>
          <w:rStyle w:val="824"/>
          <w:rFonts w:eastAsiaTheme="minorHAnsi"/>
          <w:b w:val="false"/>
        </w:rPr>
        <w:t xml:space="preserve"> </w:t>
      </w:r>
      <w:r>
        <w:rPr>
          <w:rStyle w:val="824"/>
          <w:rFonts w:eastAsiaTheme="minorHAnsi"/>
          <w:b w:val="false"/>
        </w:rPr>
        <w:t xml:space="preserve">  </w:t>
      </w:r>
      <w:r>
        <w:rPr>
          <w:rStyle w:val="824"/>
          <w:rFonts w:eastAsiaTheme="minorHAnsi"/>
          <w:b w:val="false"/>
        </w:rPr>
        <w:t xml:space="preserve">Подготовила: </w:t>
      </w:r>
      <w:r>
        <w:rPr>
          <w:rStyle w:val="824"/>
          <w:rFonts w:eastAsiaTheme="minorHAnsi"/>
          <w:b w:val="false"/>
        </w:rPr>
        <w:t xml:space="preserve">Гранковская Наталья В</w:t>
      </w:r>
      <w:r>
        <w:rPr>
          <w:rStyle w:val="824"/>
          <w:rFonts w:eastAsiaTheme="minorHAnsi"/>
          <w:b w:val="false"/>
        </w:rPr>
        <w:t xml:space="preserve">икторовна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jc w:val="center"/>
        <w:rPr>
          <w:rStyle w:val="824"/>
          <w:b w:val="false"/>
        </w:rPr>
      </w:pPr>
      <w:r>
        <w:rPr>
          <w:rStyle w:val="824"/>
          <w:rFonts w:eastAsiaTheme="minorHAnsi"/>
          <w:b w:val="false"/>
          <w:highlight w:val="none"/>
        </w:rPr>
        <w:t xml:space="preserve">                                                                                               </w:t>
      </w:r>
      <w:r>
        <w:rPr>
          <w:rStyle w:val="824"/>
          <w:rFonts w:eastAsiaTheme="minorHAnsi"/>
          <w:b w:val="false"/>
          <w:highlight w:val="none"/>
        </w:rPr>
      </w:r>
      <w:r>
        <w:rPr>
          <w:rFonts w:eastAsiaTheme="minorHAnsi"/>
        </w:rPr>
      </w:r>
    </w:p>
    <w:p>
      <w:pPr>
        <w:pStyle w:val="823"/>
        <w:jc w:val="center"/>
        <w:rPr>
          <w:bCs/>
        </w:rPr>
      </w:pPr>
      <w:r>
        <w:rPr>
          <w:rFonts w:eastAsiaTheme="minorHAnsi"/>
        </w:rPr>
        <w:t xml:space="preserve">г. Мытищи   2022 г.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Формирование основ безопасности и жизнедея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тельности детей в условиях дошкольного образовательного учреждения является актуальной и значимой проблемой, поскольку обусловлена объективной необходимостью информирования детей о правилах безопасности, приобретения ими опыта безопасного поведения в быту.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Важно не только оберегать ребенка от опасности, но и готовить его встрече с в</w:t>
      </w:r>
      <w:r>
        <w:rPr>
          <w:rFonts w:eastAsiaTheme="minorHAnsi"/>
        </w:rPr>
        <w:t xml:space="preserve">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 Мы должны подготовить детей к встрече с различными сложными ситуациями. Проблема заключается в том, что у детей этого возраста отсутствует защитная реакция на прот</w:t>
      </w:r>
      <w:r>
        <w:rPr>
          <w:rFonts w:eastAsiaTheme="minorHAnsi"/>
        </w:rPr>
        <w:t xml:space="preserve">ивопожарную обстановку. Десятая часть пожаров вспыхивает по вине детей, которые становятся жертвами незнания и легкомыслия. Чтобы изменить отношение человека к этой проблеме, необходимо уже с дошкольного возраста заниматься вопросами пожарной безопасности.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rPr>
          <w:b/>
        </w:rPr>
      </w:pPr>
      <w:r>
        <w:rPr>
          <w:rFonts w:eastAsiaTheme="minorHAnsi"/>
        </w:rPr>
        <w:t xml:space="preserve"> </w:t>
      </w:r>
      <w:r>
        <w:rPr>
          <w:rFonts w:eastAsiaTheme="minorHAnsi"/>
          <w:b/>
        </w:rPr>
        <w:t xml:space="preserve">При ознакомлении детей с первоначальными основами безопасности должны быть определены следующие цели: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</w:t>
      </w:r>
      <w:r>
        <w:rPr>
          <w:rFonts w:eastAsiaTheme="minorHAnsi"/>
        </w:rPr>
        <w:t xml:space="preserve"> формирование основ по сохранению и укреплению здоровья;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 воспитание безопасного поведения, способности предвидеть опасные ситуации, по возможности избегать их, при необходимости - действовать.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Работа с детьми по ОБЖ включает целый комплекс задач: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развитие основ экологической культуры, воспитание любви, ответственного и бережного отношения к родной природе;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воспитание грамотного участника дорожного движения;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воспитание чувства взаимопомощи и товарищества.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Реализация данных задач и формирование первоначальных основ безопасности осуществляется с учетом следующих основных принципов: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системность и последовательность (любая новая ступень в обучении детей опирается на уже освоенное в предыдущем) 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доступность (усложнение материала происходит с учетом возрастных особенностей детей) 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 включение в деятельность (игровую, познавательную, поисковую и другие виды) 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наглядность (техника безопасности лучше всего воспринимается через богатый иллюстративный материал) 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динамичность (интеграция задач в разные виды деятельности) 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психологическая комфортность (снятие стрессовых факторов) 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rPr>
          <w:b/>
        </w:rPr>
      </w:pPr>
      <w:r>
        <w:rPr>
          <w:rFonts w:eastAsiaTheme="minorHAnsi"/>
          <w:b/>
        </w:rPr>
        <w:t xml:space="preserve">Этапы реализации данных задач: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1 этап - заинтересованность детей, актуализировать, уточнить и систематизировать их знания о правилах безопасности;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2 этап - ввести правила в жизнь детей, показать разнообразие их проявлений в жизненных ситуациях, тренировать в умении применять эти правила;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3 этап - на основе усвоенных знаний и умений помочь осознанно овладеть реальными практическими действиями.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  <w:rPr>
          <w:b/>
        </w:rPr>
      </w:pPr>
      <w:r>
        <w:rPr>
          <w:rFonts w:eastAsiaTheme="minorHAnsi"/>
          <w:b/>
        </w:rPr>
        <w:t xml:space="preserve">Формы организации учебно - воспитательного процесса: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занятия;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заучивание стихотворений;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сбор фотоматериалов;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игры – занятия;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заучивание правил безопасного поведения;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беседы;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дидактические игры;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-подвижные игры 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-чтение художественной литературы;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-рассматривание иллюстраций по теме;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-наблюдения;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-экскурсии;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 театрализованные представления;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-сюжетно – ролевые игры;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-игры - тренинги;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-просмотр мультфильмов;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-трудовая деятельность;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-продуктивная деятельность;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-отгадывание загадок;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-развлечения;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-досуги;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-обыгрывание ситуаций правильного и неправильного поведения;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-встреча с интересными людьми;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-участие в различных конкурсах;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-личный пример взрослых.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Наряду с традиционными формами обучения в ДОУ, большое внимание уделяется организации различных видов деятельность и приобретению детьми опыта. Ведь всё, чему мы учим детей, они должны уметь применять в реальной жизни, на практике.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Ребенок попадает в различные жизненные ситуации, в которых он может просто растеряться. Во-первых, надо дать детям необходимую сумму знаний общепринятых человеком нормах поведения.</w:t>
      </w:r>
      <w:r>
        <w:rPr>
          <w:rFonts w:eastAsiaTheme="minorHAnsi"/>
        </w:rPr>
        <w:t xml:space="preserve">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HAnsi"/>
          <w:b/>
        </w:rPr>
        <w:t xml:space="preserve">Сохранение жизни и здоровья детей – главная обязанность взрослых.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Подавайте детям собственный пример правильного поведения в быту, на улицах и дорогах.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формируйте у детей навыки обеспечения личной безопасности;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проведите с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детьми индивидуальные беседы, объяснив важные правила, соблюдение которых поможет сохранить жизнь;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решите проблему свободного времени детей;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постоянно будьте в курсе, где и с кем ваш ребёнок, контролируйте место пребывания детей;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проявляйте осторожность и соблюдайте все требования безопасности, находясь с детьми на игровой или спортивной площадке;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Многие родители, не понимая этого, личным примером обучают детей неправильному поведению на дороге.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  <w:lang w:eastAsia="ru-RU"/>
        </w:rPr>
        <w:t xml:space="preserve">Правила безопасности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Чтобы уб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Ребенка нужно научить следующим правилам безопасности при общении с посторонними: 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Всегда играй в компании друзей. 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Никогда не принимай подарки (сладости) от незнакомцев без разрешения родителей. 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 </w:t>
      </w:r>
      <w:r>
        <w:rPr>
          <w:rFonts w:eastAsiaTheme="minorHAnsi"/>
        </w:rPr>
      </w:r>
      <w:r>
        <w:rPr>
          <w:rFonts w:eastAsiaTheme="minorHAnsi"/>
        </w:rPr>
      </w:r>
    </w:p>
    <w:p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Никогда не позволяй кому-то прикасаться к тебе. Сразу расскажи об этом родителям. 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b/>
          <w:bCs/>
          <w:sz w:val="24"/>
          <w:szCs w:val="24"/>
          <w:lang w:eastAsia="ru-RU"/>
        </w:rPr>
        <w:t xml:space="preserve">Ребенка нужно научить следующим правилам безопасности дома: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Не оставляйте без присмотра детей дошкольного возраста, не позволяйте им пользоваться легковоспламеняющимися материалами;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Следите за газовыми и электрическими приборами.  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Не играть с легко воспламеняющимися предметами и жидкостями (спички, зажигалки, аэрозоли и т.д.);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Не поворачивать вентили газовой плиты и колонки;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Не трогать режущие и колющие предметы (ножи, ножницы, иголки и т.д.).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.Бытовую химию храните в шкафчиках с надежными запорами. Косметику, бритвы, маникюрные наборы, лекарства и стеклянную посуду держите в таком месте, чтобы он не мог ее достать.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 Покупайте только те игрушки, где есть знак, подтве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рждающий их безопасность. Вначале как купить игрушку, понюхайте ее. Игрушка имеет запах - значит, она выделяет вредные вещества. Всегда следите за тем, чтобы среди игрушек отсутствовали мелкие предметы. Если появились сломанные игрушки, нужно их выбросить.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Провода от электроприборов нужно размещать за мебелью, чтобы ребенок не мог их достать. Телевизоры, экраны компьютера — также источники больших проблем. Не разрешайте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малышу подходить близко к телевизору и играть в непосредственной близости от него. Советуем от любых электроприборов ребенка держать подальше.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  <w:lang w:eastAsia="ru-RU"/>
        </w:rPr>
        <w:t xml:space="preserve"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23"/>
      </w:pPr>
      <w:r>
        <w:rPr>
          <w:rFonts w:eastAsiaTheme="minorHAnsi"/>
        </w:rPr>
        <w:t xml:space="preserve">Научившись поступать определенным образом в игровых условиях, воспроизводящих контакт с потенциально опасными предметами быта, дошкольники намного увереннее чувствуют себя в реальной жизни.</w:t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440" w:right="1080" w:bottom="1135" w:left="1080" w:header="709" w:footer="709" w:gutter="0"/>
      <w:pgBorders w:display="allPages" w:offsetFrom="page" w:zOrder="front">
        <w:bottom w:color="00b0f0" w:space="24" w:sz="12" w:val="single"/>
        <w:left w:color="00b0f0" w:space="24" w:sz="12" w:val="single"/>
        <w:right w:color="00b0f0" w:space="24" w:sz="12" w:val="single"/>
        <w:top w:color="00b0f0" w:space="24" w:sz="12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9"/>
    <w:next w:val="819"/>
    <w:link w:val="64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3">
    <w:name w:val="Heading 1 Char"/>
    <w:basedOn w:val="820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9"/>
    <w:next w:val="819"/>
    <w:link w:val="64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5">
    <w:name w:val="Heading 2 Char"/>
    <w:basedOn w:val="820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9"/>
    <w:next w:val="819"/>
    <w:link w:val="6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7">
    <w:name w:val="Heading 3 Char"/>
    <w:basedOn w:val="820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9"/>
    <w:next w:val="819"/>
    <w:link w:val="64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9">
    <w:name w:val="Heading 4 Char"/>
    <w:basedOn w:val="820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9"/>
    <w:next w:val="819"/>
    <w:link w:val="65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1">
    <w:name w:val="Heading 5 Char"/>
    <w:basedOn w:val="820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9"/>
    <w:next w:val="819"/>
    <w:link w:val="65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3">
    <w:name w:val="Heading 6 Char"/>
    <w:basedOn w:val="820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9"/>
    <w:next w:val="819"/>
    <w:link w:val="65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5">
    <w:name w:val="Heading 7 Char"/>
    <w:basedOn w:val="820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9"/>
    <w:next w:val="819"/>
    <w:link w:val="65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7">
    <w:name w:val="Heading 8 Char"/>
    <w:basedOn w:val="820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9"/>
    <w:next w:val="819"/>
    <w:link w:val="6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9">
    <w:name w:val="Heading 9 Char"/>
    <w:basedOn w:val="820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No Spacing"/>
    <w:qFormat/>
    <w:uiPriority w:val="1"/>
    <w:pPr>
      <w:spacing w:lineRule="auto" w:line="240" w:after="0" w:before="0"/>
    </w:pPr>
  </w:style>
  <w:style w:type="paragraph" w:styleId="661">
    <w:name w:val="Title"/>
    <w:basedOn w:val="819"/>
    <w:next w:val="819"/>
    <w:link w:val="66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2">
    <w:name w:val="Title Char"/>
    <w:basedOn w:val="820"/>
    <w:link w:val="661"/>
    <w:uiPriority w:val="10"/>
    <w:rPr>
      <w:sz w:val="48"/>
      <w:szCs w:val="48"/>
    </w:rPr>
  </w:style>
  <w:style w:type="paragraph" w:styleId="663">
    <w:name w:val="Subtitle"/>
    <w:basedOn w:val="819"/>
    <w:next w:val="819"/>
    <w:link w:val="664"/>
    <w:qFormat/>
    <w:uiPriority w:val="11"/>
    <w:rPr>
      <w:sz w:val="24"/>
      <w:szCs w:val="24"/>
    </w:rPr>
    <w:pPr>
      <w:spacing w:after="200" w:before="200"/>
    </w:pPr>
  </w:style>
  <w:style w:type="character" w:styleId="664">
    <w:name w:val="Subtitle Char"/>
    <w:basedOn w:val="820"/>
    <w:link w:val="663"/>
    <w:uiPriority w:val="11"/>
    <w:rPr>
      <w:sz w:val="24"/>
      <w:szCs w:val="24"/>
    </w:rPr>
  </w:style>
  <w:style w:type="paragraph" w:styleId="665">
    <w:name w:val="Quote"/>
    <w:basedOn w:val="819"/>
    <w:next w:val="819"/>
    <w:link w:val="666"/>
    <w:qFormat/>
    <w:uiPriority w:val="29"/>
    <w:rPr>
      <w:i/>
    </w:rPr>
    <w:pPr>
      <w:ind w:left="720" w:right="720"/>
    </w:pPr>
  </w:style>
  <w:style w:type="character" w:styleId="666">
    <w:name w:val="Quote Char"/>
    <w:link w:val="665"/>
    <w:uiPriority w:val="29"/>
    <w:rPr>
      <w:i/>
    </w:rPr>
  </w:style>
  <w:style w:type="paragraph" w:styleId="667">
    <w:name w:val="Intense Quote"/>
    <w:basedOn w:val="819"/>
    <w:next w:val="819"/>
    <w:link w:val="66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8">
    <w:name w:val="Intense Quote Char"/>
    <w:link w:val="667"/>
    <w:uiPriority w:val="30"/>
    <w:rPr>
      <w:i/>
    </w:rPr>
  </w:style>
  <w:style w:type="paragraph" w:styleId="669">
    <w:name w:val="Header"/>
    <w:basedOn w:val="819"/>
    <w:link w:val="67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Header Char"/>
    <w:basedOn w:val="820"/>
    <w:link w:val="669"/>
    <w:uiPriority w:val="99"/>
  </w:style>
  <w:style w:type="paragraph" w:styleId="671">
    <w:name w:val="Footer"/>
    <w:basedOn w:val="819"/>
    <w:link w:val="6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2">
    <w:name w:val="Footer Char"/>
    <w:basedOn w:val="820"/>
    <w:link w:val="671"/>
    <w:uiPriority w:val="99"/>
  </w:style>
  <w:style w:type="paragraph" w:styleId="673">
    <w:name w:val="Caption"/>
    <w:basedOn w:val="819"/>
    <w:next w:val="8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4">
    <w:name w:val="Caption Char"/>
    <w:basedOn w:val="673"/>
    <w:link w:val="671"/>
    <w:uiPriority w:val="99"/>
  </w:style>
  <w:style w:type="table" w:styleId="675">
    <w:name w:val="Table Grid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Table Grid Light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2">
    <w:name w:val="Grid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4">
    <w:name w:val="Grid Table 4 - Accent 1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5">
    <w:name w:val="Grid Table 4 - Accent 2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6">
    <w:name w:val="Grid Table 4 - Accent 3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7">
    <w:name w:val="Grid Table 4 - Accent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8">
    <w:name w:val="Grid Table 4 - Accent 5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9">
    <w:name w:val="Grid Table 4 - Accent 6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0">
    <w:name w:val="Grid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7">
    <w:name w:val="Grid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0F74C2" w:themeColor="accent1" w:themeTint="80" w:themeShade="95"/>
      </w:rPr>
    </w:tblStylePr>
    <w:tblStylePr w:type="firstRow">
      <w:rPr>
        <w:b/>
        <w:color w:val="0F74C2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0F74C2" w:themeColor="accent1" w:themeTint="80" w:themeShade="95"/>
      </w:rPr>
    </w:tblStylePr>
    <w:tblStylePr w:type="lastRow">
      <w:rPr>
        <w:b/>
        <w:color w:val="0F74C2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18EC2" w:themeColor="accent2" w:themeTint="97" w:themeShade="95"/>
      </w:rPr>
    </w:tblStylePr>
    <w:tblStylePr w:type="firstRow">
      <w:rPr>
        <w:b/>
        <w:color w:val="018EC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018EC2" w:themeColor="accent2" w:themeTint="97" w:themeShade="95"/>
      </w:rPr>
    </w:tblStylePr>
    <w:tblStylePr w:type="lastRow">
      <w:rPr>
        <w:b/>
        <w:color w:val="018EC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67E7F" w:themeColor="accent3" w:themeTint="FE" w:themeShade="95"/>
      </w:rPr>
    </w:tblStylePr>
    <w:tblStylePr w:type="firstRow">
      <w:rPr>
        <w:b/>
        <w:color w:val="067E7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067E7F" w:themeColor="accent3" w:themeTint="FE" w:themeShade="95"/>
      </w:rPr>
    </w:tblStylePr>
    <w:tblStylePr w:type="lastRow">
      <w:rPr>
        <w:b/>
        <w:color w:val="067E7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EB580" w:themeColor="accent4" w:themeTint="9A" w:themeShade="95"/>
      </w:rPr>
    </w:tblStylePr>
    <w:tblStylePr w:type="firstRow">
      <w:rPr>
        <w:b/>
        <w:color w:val="0EB58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0EB580" w:themeColor="accent4" w:themeTint="9A" w:themeShade="95"/>
      </w:rPr>
    </w:tblStylePr>
    <w:tblStylePr w:type="lastRow">
      <w:rPr>
        <w:b/>
        <w:color w:val="0EB58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43832C" w:themeColor="accent5" w:themeShade="95"/>
      </w:rPr>
    </w:tblStylePr>
    <w:tblStylePr w:type="firstRow">
      <w:rPr>
        <w:b/>
        <w:color w:val="43832C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3832C" w:themeColor="accent5" w:themeShade="95"/>
      </w:rPr>
    </w:tblStylePr>
    <w:tblStylePr w:type="lastRow">
      <w:rPr>
        <w:b/>
        <w:color w:val="43832C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43832C" w:themeColor="accent5" w:themeShade="95"/>
      </w:rPr>
    </w:tblStylePr>
    <w:tblStylePr w:type="firstRow">
      <w:rPr>
        <w:b/>
        <w:color w:val="43832C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3832C" w:themeColor="accent5" w:themeShade="95"/>
      </w:rPr>
    </w:tblStylePr>
    <w:tblStylePr w:type="lastRow">
      <w:rPr>
        <w:b/>
        <w:color w:val="43832C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0F74C2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0F74C2" w:themeColor="accent1" w:themeTint="80" w:themeShade="95"/>
        <w:sz w:val="22"/>
      </w:rPr>
    </w:tblStylePr>
    <w:tblStylePr w:type="firstCol">
      <w:rPr>
        <w:rFonts w:ascii="Arial" w:hAnsi="Arial"/>
        <w:i/>
        <w:color w:val="0F74C2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0F74C2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0F74C2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0F74C2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018EC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018EC2" w:themeColor="accent2" w:themeTint="97" w:themeShade="95"/>
        <w:sz w:val="22"/>
      </w:rPr>
    </w:tblStylePr>
    <w:tblStylePr w:type="firstCol">
      <w:rPr>
        <w:rFonts w:ascii="Arial" w:hAnsi="Arial"/>
        <w:i/>
        <w:color w:val="018EC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018EC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018EC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018EC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067E7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067E7F" w:themeColor="accent3" w:themeTint="FE" w:themeShade="95"/>
        <w:sz w:val="22"/>
      </w:rPr>
    </w:tblStylePr>
    <w:tblStylePr w:type="firstCol">
      <w:rPr>
        <w:rFonts w:ascii="Arial" w:hAnsi="Arial"/>
        <w:i/>
        <w:color w:val="067E7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067E7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067E7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067E7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0EB58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0EB580" w:themeColor="accent4" w:themeTint="9A" w:themeShade="95"/>
        <w:sz w:val="22"/>
      </w:rPr>
    </w:tblStylePr>
    <w:tblStylePr w:type="firstCol">
      <w:rPr>
        <w:rFonts w:ascii="Arial" w:hAnsi="Arial"/>
        <w:i/>
        <w:color w:val="0EB58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0EB58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0EB58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0EB58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3832C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3832C" w:themeColor="accent5" w:themeShade="95"/>
        <w:sz w:val="22"/>
      </w:rPr>
    </w:tblStylePr>
    <w:tblStylePr w:type="firstCol">
      <w:rPr>
        <w:rFonts w:ascii="Arial" w:hAnsi="Arial"/>
        <w:i/>
        <w:color w:val="43832C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3832C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43832C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3832C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63742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637427" w:themeColor="accent6" w:themeShade="95"/>
        <w:sz w:val="22"/>
      </w:rPr>
    </w:tblStylePr>
    <w:tblStylePr w:type="firstCol">
      <w:rPr>
        <w:rFonts w:ascii="Arial" w:hAnsi="Arial"/>
        <w:i/>
        <w:color w:val="63742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63742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63742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3742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9">
    <w:name w:val="List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0">
    <w:name w:val="List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1">
    <w:name w:val="List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2">
    <w:name w:val="List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3">
    <w:name w:val="List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4">
    <w:name w:val="List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5">
    <w:name w:val="List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7">
    <w:name w:val="List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84273" w:themeColor="accent1" w:themeShade="95"/>
      </w:rPr>
    </w:tblStylePr>
    <w:tblStylePr w:type="firstRow">
      <w:rPr>
        <w:b/>
        <w:color w:val="084273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084273" w:themeColor="accent1" w:themeShade="95"/>
      </w:rPr>
    </w:tblStylePr>
    <w:tblStylePr w:type="lastRow">
      <w:rPr>
        <w:b/>
        <w:color w:val="084273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8">
    <w:name w:val="List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18EC2" w:themeColor="accent2" w:themeTint="97" w:themeShade="95"/>
      </w:rPr>
    </w:tblStylePr>
    <w:tblStylePr w:type="firstRow">
      <w:rPr>
        <w:b/>
        <w:color w:val="018EC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018EC2" w:themeColor="accent2" w:themeTint="97" w:themeShade="95"/>
      </w:rPr>
    </w:tblStylePr>
    <w:tblStylePr w:type="lastRow">
      <w:rPr>
        <w:b/>
        <w:color w:val="018EC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9">
    <w:name w:val="List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0AB9BB" w:themeColor="accent3" w:themeTint="98" w:themeShade="95"/>
      </w:rPr>
    </w:tblStylePr>
    <w:tblStylePr w:type="firstRow">
      <w:rPr>
        <w:b/>
        <w:color w:val="0AB9BB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0AB9BB" w:themeColor="accent3" w:themeTint="98" w:themeShade="95"/>
      </w:rPr>
    </w:tblStylePr>
    <w:tblStylePr w:type="lastRow">
      <w:rPr>
        <w:b/>
        <w:color w:val="0AB9BB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0">
    <w:name w:val="List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EB580" w:themeColor="accent4" w:themeTint="9A" w:themeShade="95"/>
      </w:rPr>
    </w:tblStylePr>
    <w:tblStylePr w:type="firstRow">
      <w:rPr>
        <w:b/>
        <w:color w:val="0EB58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0EB580" w:themeColor="accent4" w:themeTint="9A" w:themeShade="95"/>
      </w:rPr>
    </w:tblStylePr>
    <w:tblStylePr w:type="lastRow">
      <w:rPr>
        <w:b/>
        <w:color w:val="0EB58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1">
    <w:name w:val="List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55A738" w:themeColor="accent5" w:themeTint="9A" w:themeShade="95"/>
      </w:rPr>
    </w:tblStylePr>
    <w:tblStylePr w:type="firstRow">
      <w:rPr>
        <w:b/>
        <w:color w:val="55A738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55A738" w:themeColor="accent5" w:themeTint="9A" w:themeShade="95"/>
      </w:rPr>
    </w:tblStylePr>
    <w:tblStylePr w:type="lastRow">
      <w:rPr>
        <w:b/>
        <w:color w:val="55A738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2">
    <w:name w:val="List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869E35" w:themeColor="accent6" w:themeTint="98" w:themeShade="95"/>
      </w:rPr>
    </w:tblStylePr>
    <w:tblStylePr w:type="firstRow">
      <w:rPr>
        <w:b/>
        <w:color w:val="869E35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869E35" w:themeColor="accent6" w:themeTint="98" w:themeShade="95"/>
      </w:rPr>
    </w:tblStylePr>
    <w:tblStylePr w:type="lastRow">
      <w:rPr>
        <w:b/>
        <w:color w:val="869E35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3">
    <w:name w:val="List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084273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084273" w:themeColor="accent1" w:themeShade="95"/>
        <w:sz w:val="22"/>
      </w:rPr>
    </w:tblStylePr>
    <w:tblStylePr w:type="firstCol">
      <w:rPr>
        <w:rFonts w:ascii="Arial" w:hAnsi="Arial"/>
        <w:i/>
        <w:color w:val="084273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084273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084273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084273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084273" w:themeColor="accent1" w:themeShade="95"/>
        <w:sz w:val="22"/>
      </w:rPr>
    </w:tblStylePr>
  </w:style>
  <w:style w:type="table" w:styleId="775">
    <w:name w:val="List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018EC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018EC2" w:themeColor="accent2" w:themeTint="97" w:themeShade="95"/>
        <w:sz w:val="22"/>
      </w:rPr>
    </w:tblStylePr>
    <w:tblStylePr w:type="firstCol">
      <w:rPr>
        <w:rFonts w:ascii="Arial" w:hAnsi="Arial"/>
        <w:i/>
        <w:color w:val="018EC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018EC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018EC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018EC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018EC2" w:themeColor="accent2" w:themeTint="97" w:themeShade="95"/>
        <w:sz w:val="22"/>
      </w:rPr>
    </w:tblStylePr>
  </w:style>
  <w:style w:type="table" w:styleId="776">
    <w:name w:val="List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0AB9BB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0AB9BB" w:themeColor="accent3" w:themeTint="98" w:themeShade="95"/>
        <w:sz w:val="22"/>
      </w:rPr>
    </w:tblStylePr>
    <w:tblStylePr w:type="firstCol">
      <w:rPr>
        <w:rFonts w:ascii="Arial" w:hAnsi="Arial"/>
        <w:i/>
        <w:color w:val="0AB9BB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0AB9BB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0AB9BB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0AB9BB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0AB9BB" w:themeColor="accent3" w:themeTint="98" w:themeShade="95"/>
        <w:sz w:val="22"/>
      </w:rPr>
    </w:tblStylePr>
  </w:style>
  <w:style w:type="table" w:styleId="777">
    <w:name w:val="List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0EB58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0EB580" w:themeColor="accent4" w:themeTint="9A" w:themeShade="95"/>
        <w:sz w:val="22"/>
      </w:rPr>
    </w:tblStylePr>
    <w:tblStylePr w:type="firstCol">
      <w:rPr>
        <w:rFonts w:ascii="Arial" w:hAnsi="Arial"/>
        <w:i/>
        <w:color w:val="0EB58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0EB58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0EB58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0EB58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0EB580" w:themeColor="accent4" w:themeTint="9A" w:themeShade="95"/>
        <w:sz w:val="22"/>
      </w:rPr>
    </w:tblStylePr>
  </w:style>
  <w:style w:type="table" w:styleId="778">
    <w:name w:val="List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55A738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55A738" w:themeColor="accent5" w:themeTint="9A" w:themeShade="95"/>
        <w:sz w:val="22"/>
      </w:rPr>
    </w:tblStylePr>
    <w:tblStylePr w:type="firstCol">
      <w:rPr>
        <w:rFonts w:ascii="Arial" w:hAnsi="Arial"/>
        <w:i/>
        <w:color w:val="55A738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55A738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55A738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5A738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5A738" w:themeColor="accent5" w:themeTint="9A" w:themeShade="95"/>
        <w:sz w:val="22"/>
      </w:rPr>
    </w:tblStylePr>
  </w:style>
  <w:style w:type="table" w:styleId="779">
    <w:name w:val="List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869E35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869E35" w:themeColor="accent6" w:themeTint="98" w:themeShade="95"/>
        <w:sz w:val="22"/>
      </w:rPr>
    </w:tblStylePr>
    <w:tblStylePr w:type="firstCol">
      <w:rPr>
        <w:rFonts w:ascii="Arial" w:hAnsi="Arial"/>
        <w:i/>
        <w:color w:val="869E35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869E35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869E35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69E35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869E35" w:themeColor="accent6" w:themeTint="98" w:themeShade="95"/>
        <w:sz w:val="22"/>
      </w:rPr>
    </w:tblStylePr>
  </w:style>
  <w:style w:type="table" w:styleId="780">
    <w:name w:val="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1">
    <w:name w:val="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2">
    <w:name w:val="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3">
    <w:name w:val="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4">
    <w:name w:val="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5">
    <w:name w:val="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6">
    <w:name w:val="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7">
    <w:name w:val="Bordered &amp; 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8">
    <w:name w:val="Bordered &amp; 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9">
    <w:name w:val="Bordered &amp; 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0">
    <w:name w:val="Bordered &amp; 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1">
    <w:name w:val="Bordered &amp; 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2">
    <w:name w:val="Bordered &amp; 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3">
    <w:name w:val="Bordered &amp; 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4">
    <w:name w:val="Bordered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5">
    <w:name w:val="Bordered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6">
    <w:name w:val="Bordered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7">
    <w:name w:val="Bordered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8">
    <w:name w:val="Bordered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9">
    <w:name w:val="Bordered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0">
    <w:name w:val="Bordered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paragraph" w:styleId="802">
    <w:name w:val="footnote text"/>
    <w:basedOn w:val="819"/>
    <w:link w:val="803"/>
    <w:uiPriority w:val="99"/>
    <w:semiHidden/>
    <w:unhideWhenUsed/>
    <w:rPr>
      <w:sz w:val="18"/>
    </w:rPr>
    <w:pPr>
      <w:spacing w:lineRule="auto" w:line="240" w:after="40"/>
    </w:pPr>
  </w:style>
  <w:style w:type="character" w:styleId="803">
    <w:name w:val="Footnote Text Char"/>
    <w:link w:val="802"/>
    <w:uiPriority w:val="99"/>
    <w:rPr>
      <w:sz w:val="18"/>
    </w:rPr>
  </w:style>
  <w:style w:type="character" w:styleId="804">
    <w:name w:val="footnote reference"/>
    <w:basedOn w:val="820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rPr>
      <w:sz w:val="20"/>
    </w:rPr>
    <w:pPr>
      <w:spacing w:lineRule="auto" w:line="240" w:after="0"/>
    </w:p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20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rmal (Web)"/>
    <w:basedOn w:val="819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824">
    <w:name w:val="Strong"/>
    <w:basedOn w:val="820"/>
    <w:qFormat/>
    <w:uiPriority w:val="22"/>
    <w:rPr>
      <w:b/>
      <w:bCs/>
    </w:rPr>
  </w:style>
  <w:style w:type="paragraph" w:styleId="825">
    <w:name w:val="List Paragraph"/>
    <w:basedOn w:val="819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Другая 1">
      <a:majorFont>
        <a:latin typeface="Times New Roman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Поток">
      <a:fillStyleLst>
        <a:solidFill>
          <a:schemeClr val="phClr"/>
        </a:solidFill>
        <a:gradFill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/>
        </a:gradFill>
        <a:gradFill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/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/>
        </a:gradFill>
        <a:blipFill>
          <a:blip r:embed="rId0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algn="tl" flip="none" sx="65000" sy="65000" tx="0" ty="0"/>
        </a:blip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E4C6229-5120-41B0-9C60-3FEC6D4D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Наталья Гранковская</cp:lastModifiedBy>
  <cp:revision>3</cp:revision>
  <dcterms:created xsi:type="dcterms:W3CDTF">2022-02-12T11:00:00Z</dcterms:created>
  <dcterms:modified xsi:type="dcterms:W3CDTF">2022-02-12T13:51:50Z</dcterms:modified>
</cp:coreProperties>
</file>